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5F" w:rsidRPr="00C86109" w:rsidRDefault="00C86109" w:rsidP="00C86109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color w:val="000000"/>
          <w:kern w:val="36"/>
          <w:sz w:val="48"/>
          <w:szCs w:val="48"/>
          <w:lang w:eastAsia="ru-RU"/>
        </w:rPr>
      </w:pPr>
      <w:r>
        <w:rPr>
          <w:rFonts w:ascii="PT Astra Serif" w:eastAsia="Times New Roman" w:hAnsi="PT Astra Serif" w:cs="Arial"/>
          <w:color w:val="000000"/>
          <w:kern w:val="36"/>
          <w:sz w:val="48"/>
          <w:szCs w:val="48"/>
          <w:lang w:eastAsia="ru-RU"/>
        </w:rPr>
        <w:t>Федеральные законы о правах ребё</w:t>
      </w:r>
      <w:r w:rsidR="00F43A5F" w:rsidRPr="00C86109">
        <w:rPr>
          <w:rFonts w:ascii="PT Astra Serif" w:eastAsia="Times New Roman" w:hAnsi="PT Astra Serif" w:cs="Arial"/>
          <w:color w:val="000000"/>
          <w:kern w:val="36"/>
          <w:sz w:val="48"/>
          <w:szCs w:val="48"/>
          <w:lang w:eastAsia="ru-RU"/>
        </w:rPr>
        <w:t>нка</w:t>
      </w:r>
    </w:p>
    <w:p w:rsidR="00F43A5F" w:rsidRPr="00C86109" w:rsidRDefault="00F43A5F" w:rsidP="00F43A5F">
      <w:pPr>
        <w:shd w:val="clear" w:color="auto" w:fill="FFFFFF"/>
        <w:spacing w:before="150" w:after="150" w:line="408" w:lineRule="atLeast"/>
        <w:jc w:val="center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b/>
          <w:bCs/>
          <w:color w:val="0000FF"/>
          <w:sz w:val="28"/>
          <w:szCs w:val="24"/>
          <w:lang w:eastAsia="ru-RU"/>
        </w:rPr>
        <w:t>Нормативные правовые акты (законы и подзаконные акты), действующие на всей территории РФ</w:t>
      </w:r>
    </w:p>
    <w:p w:rsidR="00F43A5F" w:rsidRPr="00C86109" w:rsidRDefault="00F43A5F" w:rsidP="00F43A5F">
      <w:pPr>
        <w:shd w:val="clear" w:color="auto" w:fill="FFFFFF"/>
        <w:spacing w:before="150" w:after="150" w:line="408" w:lineRule="atLeast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Начиная с 1993 г. принято более 200 нормативных правовых актов, затрагивающих все сферы жизнедеятельности семьи и детей и нацеленных на усиление мер их социальной защиты, включая федеральные законы, указы Президента РФ, постановления Правительства РФ и др. Особенно важное значение </w:t>
      </w:r>
      <w:r w:rsidRPr="00C86109">
        <w:rPr>
          <w:rFonts w:ascii="PT Astra Serif" w:eastAsia="Times New Roman" w:hAnsi="PT Astra Serif" w:cs="Arial"/>
          <w:b/>
          <w:bCs/>
          <w:color w:val="000000"/>
          <w:sz w:val="28"/>
          <w:szCs w:val="24"/>
          <w:lang w:eastAsia="ru-RU"/>
        </w:rPr>
        <w:t>имеет принятие следующих нормативно-правовых актов: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Конституция РФ,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Семейный кодекс РФ,</w:t>
      </w:r>
      <w:bookmarkStart w:id="0" w:name="_GoBack"/>
      <w:bookmarkEnd w:id="0"/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Гражданский кодекс РФ,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Уголовный кодекс РФ,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Федеральный закон от 24 июля 1998 г. N 124-ФЗ "Об основных гарантиях прав ребенка в Российской Федерации",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несовершеннолетних",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Федеральный закон от 21 декабря 1996 г. N 159-ФЗ "О дополнительных гарантиях по социальной поддержке детей-сирот и детей, оставшихся без попечения родителей",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Федеральный закон от 24.04.2008 N 48-ФЗ "Об опеке и попечительстве" и др.</w:t>
      </w:r>
    </w:p>
    <w:p w:rsidR="00F43A5F" w:rsidRPr="00C86109" w:rsidRDefault="00F43A5F" w:rsidP="00F43A5F">
      <w:pPr>
        <w:shd w:val="clear" w:color="auto" w:fill="FFFFFF"/>
        <w:spacing w:before="150" w:after="150" w:line="408" w:lineRule="atLeast"/>
        <w:jc w:val="center"/>
        <w:rPr>
          <w:rFonts w:ascii="PT Astra Serif" w:eastAsia="Times New Roman" w:hAnsi="PT Astra Serif" w:cs="Arial"/>
          <w:color w:val="000000"/>
          <w:sz w:val="32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b/>
          <w:bCs/>
          <w:color w:val="0000FF"/>
          <w:sz w:val="32"/>
          <w:szCs w:val="24"/>
          <w:lang w:eastAsia="ru-RU"/>
        </w:rPr>
        <w:t>Международные правовые акты</w:t>
      </w:r>
    </w:p>
    <w:p w:rsidR="00F43A5F" w:rsidRPr="00C86109" w:rsidRDefault="00F43A5F" w:rsidP="00F43A5F">
      <w:pPr>
        <w:shd w:val="clear" w:color="auto" w:fill="FFFFFF"/>
        <w:spacing w:before="150" w:after="150" w:line="408" w:lineRule="atLeast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Высшей юридической силой обладают международно-правовые акты. Так, в ст. 15 Конституции определяется,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F43A5F" w:rsidRPr="00C86109" w:rsidRDefault="00F43A5F" w:rsidP="00F43A5F">
      <w:pPr>
        <w:shd w:val="clear" w:color="auto" w:fill="FFFFFF"/>
        <w:spacing w:before="150" w:after="150" w:line="408" w:lineRule="atLeast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b/>
          <w:bCs/>
          <w:color w:val="000000"/>
          <w:sz w:val="28"/>
          <w:szCs w:val="24"/>
          <w:lang w:eastAsia="ru-RU"/>
        </w:rPr>
        <w:t xml:space="preserve">В числе международных актов следует выделить Декларацию прав ребенка 1959 </w:t>
      </w:r>
      <w:r w:rsidR="00C86109" w:rsidRPr="00C86109">
        <w:rPr>
          <w:rFonts w:ascii="PT Astra Serif" w:eastAsia="Times New Roman" w:hAnsi="PT Astra Serif" w:cs="Arial"/>
          <w:b/>
          <w:bCs/>
          <w:color w:val="000000"/>
          <w:sz w:val="28"/>
          <w:szCs w:val="24"/>
          <w:lang w:eastAsia="ru-RU"/>
        </w:rPr>
        <w:t>г.</w:t>
      </w:r>
      <w:r w:rsidRPr="00C86109">
        <w:rPr>
          <w:rFonts w:ascii="PT Astra Serif" w:eastAsia="Times New Roman" w:hAnsi="PT Astra Serif" w:cs="Arial"/>
          <w:b/>
          <w:bCs/>
          <w:color w:val="000000"/>
          <w:sz w:val="28"/>
          <w:szCs w:val="24"/>
          <w:lang w:eastAsia="ru-RU"/>
        </w:rPr>
        <w:t>; Конвенция ООН о правах ребенка 1989 г.;</w:t>
      </w:r>
    </w:p>
    <w:p w:rsidR="00F43A5F" w:rsidRPr="00C86109" w:rsidRDefault="00F43A5F" w:rsidP="00F43A5F">
      <w:pPr>
        <w:shd w:val="clear" w:color="auto" w:fill="FFFFFF"/>
        <w:spacing w:before="150" w:after="150" w:line="408" w:lineRule="atLeast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b/>
          <w:bCs/>
          <w:color w:val="000000"/>
          <w:sz w:val="28"/>
          <w:szCs w:val="24"/>
          <w:lang w:eastAsia="ru-RU"/>
        </w:rPr>
        <w:t xml:space="preserve">Всемирная декларация об обеспечении выживания, защиты и развития детей 1990 </w:t>
      </w:r>
      <w:r w:rsidR="00C86109" w:rsidRPr="00C86109">
        <w:rPr>
          <w:rFonts w:ascii="PT Astra Serif" w:eastAsia="Times New Roman" w:hAnsi="PT Astra Serif" w:cs="Arial"/>
          <w:b/>
          <w:bCs/>
          <w:color w:val="000000"/>
          <w:sz w:val="28"/>
          <w:szCs w:val="24"/>
          <w:lang w:eastAsia="ru-RU"/>
        </w:rPr>
        <w:t>г.</w:t>
      </w:r>
      <w:r w:rsidRPr="00C86109">
        <w:rPr>
          <w:rFonts w:ascii="PT Astra Serif" w:eastAsia="Times New Roman" w:hAnsi="PT Astra Serif" w:cs="Arial"/>
          <w:b/>
          <w:bCs/>
          <w:color w:val="000000"/>
          <w:sz w:val="28"/>
          <w:szCs w:val="24"/>
          <w:lang w:eastAsia="ru-RU"/>
        </w:rPr>
        <w:t>;</w:t>
      </w:r>
    </w:p>
    <w:p w:rsidR="00F43A5F" w:rsidRPr="00C86109" w:rsidRDefault="00F43A5F" w:rsidP="00F43A5F">
      <w:pPr>
        <w:shd w:val="clear" w:color="auto" w:fill="FFFFFF"/>
        <w:spacing w:before="150" w:after="150" w:line="408" w:lineRule="atLeast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b/>
          <w:bCs/>
          <w:color w:val="000000"/>
          <w:sz w:val="28"/>
          <w:szCs w:val="24"/>
          <w:lang w:eastAsia="ru-RU"/>
        </w:rPr>
        <w:lastRenderedPageBreak/>
        <w:t>Минимальные стандартные правила ООН, касающиеся отправления правосудия в отношении несовершеннолетних, 1985 г. (Пекинские правила) и др.</w:t>
      </w:r>
    </w:p>
    <w:p w:rsidR="00F43A5F" w:rsidRPr="00C86109" w:rsidRDefault="00F43A5F" w:rsidP="00F43A5F">
      <w:pPr>
        <w:shd w:val="clear" w:color="auto" w:fill="FFFFFF"/>
        <w:spacing w:before="150" w:after="150" w:line="408" w:lineRule="atLeast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Указанные международные документы определяют основные направления политики государств, подписавших данные правовые акты, в области защиты прав детей. </w:t>
      </w:r>
      <w:r w:rsidRPr="00C86109">
        <w:rPr>
          <w:rFonts w:ascii="PT Astra Serif" w:eastAsia="Times New Roman" w:hAnsi="PT Astra Serif" w:cs="Arial"/>
          <w:b/>
          <w:bCs/>
          <w:color w:val="000000"/>
          <w:sz w:val="28"/>
          <w:szCs w:val="24"/>
          <w:lang w:eastAsia="ru-RU"/>
        </w:rPr>
        <w:t>В числе этих направлений надлежит выделить: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осуществление прав детей, предусмотренных конституциями (основными законами) государств,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формирование правовых основ гарантий прав ребенка;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соответствие международным стандартам в области защиты прав детей;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демократический характер, гуманность, справедливость и гласность в деятельности органов, осуществляющих защиту прав несовершеннолетних;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законодательное обеспечение прав ребенка;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государственная поддержка семьи в целях обеспечения полноценного воспитания детей, защиты их прав, подготовки их к полноценной жизни в обществе;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установление и соблюдение государственных минимальных социальных стандартов основных показателей качества жизни детей с учетом региональных различий данных показателей;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государственная поддержка органов местного самоуправления, общественных объединений и иных организаций, осуществляющих деятельность по защите прав и законных интересов ребенка.</w:t>
      </w:r>
    </w:p>
    <w:p w:rsidR="00F43A5F" w:rsidRPr="00C86109" w:rsidRDefault="00F43A5F" w:rsidP="00F43A5F">
      <w:pPr>
        <w:shd w:val="clear" w:color="auto" w:fill="FFFFFF"/>
        <w:spacing w:before="150" w:after="150" w:line="408" w:lineRule="atLeast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В соответствии с Конвенцией ООН о правах ребенка, Всемирной декларацией об обеспечении выживания, защиты и развития детей 1990 г. </w:t>
      </w:r>
      <w:r w:rsidRPr="00C86109">
        <w:rPr>
          <w:rFonts w:ascii="PT Astra Serif" w:eastAsia="Times New Roman" w:hAnsi="PT Astra Serif" w:cs="Arial"/>
          <w:b/>
          <w:bCs/>
          <w:color w:val="000000"/>
          <w:sz w:val="28"/>
          <w:szCs w:val="24"/>
          <w:lang w:eastAsia="ru-RU"/>
        </w:rPr>
        <w:t>наиболее важными стратегическими задачами российского государства и общества в сфере улучшения положения детей являются следующие: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lastRenderedPageBreak/>
        <w:t>максимально возможное в рамках имеющихся ресурсов сохранение базовых гарантий обеспечения жизнедеятельности и развития детей и минимизация их потерь в уровне жизни;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обеспечение беспрепятственного доступа детей к системам образования и здравоохранения, развитие различных форм материальной поддержки семей с детьми;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 xml:space="preserve">приоритетное внимание проблемам детей, находящихся в особо трудных условиях, - детей-сирот и детей-инвалидов, расширение форм помощи этим категориям детей, основанных на новой для России доктрине - </w:t>
      </w:r>
      <w:proofErr w:type="spellStart"/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гуманизации</w:t>
      </w:r>
      <w:proofErr w:type="spellEnd"/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 xml:space="preserve"> обращения с такими детьми на основе уважения прав ребенка и максимально возможной интеграции их в семью и общество в результате принятых мер;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создание механизмов профилактики и социальной реабилитации детей в условиях возникновения новых рисков - беспризорности, расширения насилия по отношению к детям, роста наркомании и преступности, вынужденного перемещения;</w:t>
      </w:r>
    </w:p>
    <w:p w:rsidR="00F43A5F" w:rsidRPr="00C86109" w:rsidRDefault="00F43A5F" w:rsidP="00F43A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</w:pPr>
      <w:r w:rsidRPr="00C86109">
        <w:rPr>
          <w:rFonts w:ascii="PT Astra Serif" w:eastAsia="Times New Roman" w:hAnsi="PT Astra Serif" w:cs="Arial"/>
          <w:color w:val="000000"/>
          <w:sz w:val="28"/>
          <w:szCs w:val="24"/>
          <w:lang w:eastAsia="ru-RU"/>
        </w:rPr>
        <w:t>законодательное обеспечение прав детей и мер политики по отношению к детям, создание административных, организационных и финансовых механизмов обеспечения прав детей, подготовка необходимых для этого кадров.</w:t>
      </w:r>
    </w:p>
    <w:p w:rsidR="00862C93" w:rsidRPr="00C86109" w:rsidRDefault="00862C93">
      <w:pPr>
        <w:rPr>
          <w:rFonts w:ascii="PT Astra Serif" w:hAnsi="PT Astra Serif"/>
        </w:rPr>
      </w:pPr>
    </w:p>
    <w:sectPr w:rsidR="00862C93" w:rsidRPr="00C86109" w:rsidSect="00F43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21DE"/>
    <w:multiLevelType w:val="multilevel"/>
    <w:tmpl w:val="E2A2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A0"/>
    <w:rsid w:val="00390833"/>
    <w:rsid w:val="00862C93"/>
    <w:rsid w:val="009B24A0"/>
    <w:rsid w:val="00C86109"/>
    <w:rsid w:val="00F4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98DB"/>
  <w15:docId w15:val="{64C2998D-0277-410A-983D-02802041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LYNX</cp:lastModifiedBy>
  <cp:revision>4</cp:revision>
  <dcterms:created xsi:type="dcterms:W3CDTF">2023-01-26T11:31:00Z</dcterms:created>
  <dcterms:modified xsi:type="dcterms:W3CDTF">2023-01-26T15:57:00Z</dcterms:modified>
</cp:coreProperties>
</file>